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18"/>
        <w:gridCol w:w="10782"/>
      </w:tblGrid>
      <w:tr w:rsidR="00C65184" w:rsidRPr="008B2DCC" w:rsidTr="009C6F3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14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60"/>
              <w:gridCol w:w="9840"/>
            </w:tblGrid>
            <w:tr w:rsidR="00C65184" w:rsidRPr="000219EB" w:rsidTr="009C6F3B">
              <w:trPr>
                <w:tblCellSpacing w:w="0" w:type="dxa"/>
              </w:trPr>
              <w:tc>
                <w:tcPr>
                  <w:tcW w:w="742" w:type="dxa"/>
                  <w:hideMark/>
                </w:tcPr>
                <w:p w:rsidR="00C65184" w:rsidRPr="00F61160" w:rsidRDefault="004E6A95" w:rsidP="009C6F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drawing>
                      <wp:inline distT="0" distB="0" distL="0" distR="0">
                        <wp:extent cx="963589" cy="1134352"/>
                        <wp:effectExtent l="19050" t="0" r="7961" b="0"/>
                        <wp:docPr id="5" name="4 Imagen" descr="foto cv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oto cv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5182" cy="11362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C65184" w:rsidRPr="000219EB" w:rsidRDefault="00C65184" w:rsidP="009C6F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</w:p>
                <w:p w:rsidR="00C65184" w:rsidRPr="005F2BE5" w:rsidRDefault="00C65184" w:rsidP="009C6F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2BE5">
                    <w:rPr>
                      <w:rFonts w:ascii="Verdana" w:eastAsia="Times New Roman" w:hAnsi="Verdana" w:cs="Times New Roman"/>
                      <w:b/>
                      <w:color w:val="000000"/>
                      <w:sz w:val="28"/>
                      <w:szCs w:val="28"/>
                    </w:rPr>
                    <w:t>JUAN PABLO VELASQUEZ RIQUELME</w:t>
                  </w:r>
                </w:p>
                <w:p w:rsidR="00C65184" w:rsidRPr="00B353FE" w:rsidRDefault="00C65184" w:rsidP="009C6F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B353FE">
                    <w:rPr>
                      <w:rFonts w:ascii="Verdana" w:eastAsia="Times New Roman" w:hAnsi="Verdana" w:cs="Times New Roman"/>
                      <w:i/>
                      <w:color w:val="000000"/>
                      <w:sz w:val="24"/>
                      <w:szCs w:val="24"/>
                    </w:rPr>
                    <w:t>Avda. Parque Sur 18.372</w:t>
                  </w:r>
                  <w:r>
                    <w:rPr>
                      <w:rFonts w:ascii="Verdana" w:eastAsia="Times New Roman" w:hAnsi="Verdana" w:cs="Times New Roman"/>
                      <w:i/>
                      <w:color w:val="000000"/>
                      <w:sz w:val="24"/>
                      <w:szCs w:val="24"/>
                    </w:rPr>
                    <w:t>- Santiago</w:t>
                  </w:r>
                </w:p>
                <w:p w:rsidR="00C65184" w:rsidRPr="000219EB" w:rsidRDefault="00C65184" w:rsidP="009C6F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0219E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R.U.T.: 12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0219E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430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0219E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446-6</w:t>
                  </w:r>
                </w:p>
              </w:tc>
            </w:tr>
            <w:tr w:rsidR="00C65184" w:rsidRPr="000219EB" w:rsidTr="009C6F3B">
              <w:trPr>
                <w:tblCellSpacing w:w="0" w:type="dxa"/>
              </w:trPr>
              <w:tc>
                <w:tcPr>
                  <w:tcW w:w="742" w:type="dxa"/>
                  <w:hideMark/>
                </w:tcPr>
                <w:p w:rsidR="00C65184" w:rsidRPr="00F61160" w:rsidRDefault="00C65184" w:rsidP="009C6F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65184" w:rsidRPr="000219EB" w:rsidRDefault="00C65184" w:rsidP="009C6F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65184" w:rsidRPr="000219EB" w:rsidTr="009C6F3B">
              <w:trPr>
                <w:tblCellSpacing w:w="0" w:type="dxa"/>
              </w:trPr>
              <w:tc>
                <w:tcPr>
                  <w:tcW w:w="742" w:type="dxa"/>
                  <w:hideMark/>
                </w:tcPr>
                <w:p w:rsidR="00C65184" w:rsidRPr="00F61160" w:rsidRDefault="00C65184" w:rsidP="009C6F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65184" w:rsidRPr="000219EB" w:rsidRDefault="00C65184" w:rsidP="009C6F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0219E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Fono: 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71411011</w:t>
                  </w:r>
                </w:p>
                <w:p w:rsidR="00C65184" w:rsidRPr="000219EB" w:rsidRDefault="00C65184" w:rsidP="009C6F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65184" w:rsidRPr="000219EB" w:rsidTr="009C6F3B">
              <w:trPr>
                <w:tblCellSpacing w:w="0" w:type="dxa"/>
              </w:trPr>
              <w:tc>
                <w:tcPr>
                  <w:tcW w:w="742" w:type="dxa"/>
                  <w:hideMark/>
                </w:tcPr>
                <w:p w:rsidR="00C65184" w:rsidRPr="00F61160" w:rsidRDefault="00C65184" w:rsidP="009C6F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65184" w:rsidRPr="000219EB" w:rsidRDefault="00215B27" w:rsidP="009C6F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hyperlink r:id="rId5" w:history="1">
                    <w:r w:rsidR="00C65184" w:rsidRPr="000219EB">
                      <w:rPr>
                        <w:rFonts w:ascii="Verdana" w:eastAsia="Times New Roman" w:hAnsi="Verdana" w:cs="Times New Roman"/>
                        <w:color w:val="0000FF"/>
                        <w:sz w:val="24"/>
                        <w:szCs w:val="24"/>
                        <w:u w:val="single"/>
                      </w:rPr>
                      <w:t>juanpablovelasquez669@hotmail.com</w:t>
                    </w:r>
                  </w:hyperlink>
                </w:p>
              </w:tc>
            </w:tr>
          </w:tbl>
          <w:p w:rsidR="00C65184" w:rsidRPr="000219EB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4" w:rsidRPr="008B2DCC" w:rsidTr="009C6F3B">
        <w:trPr>
          <w:trHeight w:val="1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5184" w:rsidRPr="000219EB" w:rsidRDefault="00C65184" w:rsidP="009C6F3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5184" w:rsidRPr="002633D0" w:rsidTr="009C6F3B">
        <w:trPr>
          <w:trHeight w:val="1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5184" w:rsidRPr="000219EB" w:rsidRDefault="00C65184" w:rsidP="009C6F3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4" w:rsidRPr="002633D0" w:rsidTr="009C6F3B">
        <w:trPr>
          <w:trHeight w:val="1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5184" w:rsidRPr="000219EB" w:rsidRDefault="00C65184" w:rsidP="009C6F3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5184" w:rsidRPr="00734BF2" w:rsidTr="009C6F3B">
        <w:trPr>
          <w:tblCellSpacing w:w="0" w:type="dxa"/>
        </w:trPr>
        <w:tc>
          <w:tcPr>
            <w:tcW w:w="514" w:type="dxa"/>
            <w:hideMark/>
          </w:tcPr>
          <w:p w:rsidR="00C65184" w:rsidRPr="000219EB" w:rsidRDefault="00C65184" w:rsidP="009C6F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5F2BE5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  <w:t>INGENIERO EN PREVENCION DE RIESGOS</w:t>
            </w:r>
            <w:r w:rsidRPr="005F2BE5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.</w:t>
            </w: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514" w:type="dxa"/>
            <w:hideMark/>
          </w:tcPr>
          <w:p w:rsidR="00C65184" w:rsidRPr="000219EB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BE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5250" cy="95250"/>
                  <wp:effectExtent l="0" t="0" r="0" b="0"/>
                  <wp:docPr id="2" name="Picture 2" descr="http://www.collahuasi.bumeran.cl/aplicantes/images/tra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llahuasi.bumeran.cl/aplicantes/images/tra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184" w:rsidRPr="00734BF2" w:rsidTr="009C6F3B">
        <w:trPr>
          <w:tblCellSpacing w:w="0" w:type="dxa"/>
        </w:trPr>
        <w:tc>
          <w:tcPr>
            <w:tcW w:w="514" w:type="dxa"/>
            <w:hideMark/>
          </w:tcPr>
          <w:p w:rsidR="00C65184" w:rsidRPr="000219EB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514" w:type="dxa"/>
            <w:hideMark/>
          </w:tcPr>
          <w:p w:rsidR="00C65184" w:rsidRPr="000219EB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514" w:type="dxa"/>
            <w:hideMark/>
          </w:tcPr>
          <w:p w:rsidR="00C65184" w:rsidRPr="000219EB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5F2BE5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  <w:t>EXPERTO SERNAGEOMIN  B.</w:t>
            </w: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514" w:type="dxa"/>
            <w:hideMark/>
          </w:tcPr>
          <w:p w:rsidR="00C65184" w:rsidRPr="000219EB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BE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5250" cy="95250"/>
                  <wp:effectExtent l="0" t="0" r="0" b="0"/>
                  <wp:docPr id="3" name="Picture 3" descr="http://www.collahuasi.bumeran.cl/aplicantes/images/tra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llahuasi.bumeran.cl/aplicantes/images/tra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184" w:rsidRPr="00734BF2" w:rsidTr="009C6F3B">
        <w:trPr>
          <w:tblCellSpacing w:w="0" w:type="dxa"/>
        </w:trPr>
        <w:tc>
          <w:tcPr>
            <w:tcW w:w="514" w:type="dxa"/>
            <w:hideMark/>
          </w:tcPr>
          <w:p w:rsidR="00C65184" w:rsidRPr="000219EB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</w:pPr>
            <w:r w:rsidRPr="005F2BE5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  <w:t>INGENIERO MECANICO</w:t>
            </w:r>
            <w:r w:rsidRPr="005F2BE5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.</w:t>
            </w:r>
          </w:p>
          <w:p w:rsidR="00C65184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</w:rPr>
            </w:pPr>
          </w:p>
          <w:p w:rsidR="00C65184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514" w:type="dxa"/>
            <w:hideMark/>
          </w:tcPr>
          <w:p w:rsidR="00C65184" w:rsidRPr="000219EB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5184" w:rsidRPr="000219EB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5184" w:rsidRPr="000219EB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" cy="95250"/>
                  <wp:effectExtent l="0" t="0" r="0" b="0"/>
                  <wp:docPr id="4" name="Picture 4" descr="http://www.collahuasi.bumeran.cl/aplicantes/images/tra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lahuasi.bumeran.cl/aplicantes/images/tra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184" w:rsidRPr="002633D0" w:rsidTr="009C6F3B">
        <w:trPr>
          <w:trHeight w:val="1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5F2BE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 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>Datos Personales:</w:t>
            </w: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Nombre                           : Juan Pablo Velásquez Riquelme</w:t>
            </w: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Rut                                  : 12.430.446-6</w:t>
            </w: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Fecha de nacimiento      : 26-06-1973 Valdivia</w:t>
            </w: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Estado civil                     : Soltero</w:t>
            </w: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Situación Militar             : Al día</w:t>
            </w:r>
          </w:p>
          <w:p w:rsidR="00015A8F" w:rsidRDefault="00015A8F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Licencia de Conducir      : Clase B</w:t>
            </w:r>
          </w:p>
          <w:p w:rsidR="00015A8F" w:rsidRDefault="00015A8F" w:rsidP="00015A8F">
            <w:pPr>
              <w:tabs>
                <w:tab w:val="left" w:pos="3402"/>
              </w:tabs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Hijos                               : Uno</w:t>
            </w: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Ingeniero Mecánico        : Universidad Austral de Chile  </w:t>
            </w: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Ingeniero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>Prev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. Riesgos : Universidad Bolivariana </w:t>
            </w: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Registro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>Sernageomin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   : 532 B</w:t>
            </w: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Registro S.N.S.                : IQP </w:t>
            </w:r>
            <w:r w:rsidR="00015A8F"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417    </w:t>
            </w:r>
          </w:p>
          <w:p w:rsidR="00C65184" w:rsidRDefault="00C65184" w:rsidP="009C6F3B">
            <w:pPr>
              <w:spacing w:after="0" w:line="150" w:lineRule="atLeast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>Disponibilidad                 : Inmediata</w:t>
            </w:r>
          </w:p>
          <w:p w:rsidR="00C65184" w:rsidRPr="000219EB" w:rsidRDefault="00C65184" w:rsidP="009C6F3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4" w:rsidRPr="002633D0" w:rsidTr="009C6F3B">
        <w:trPr>
          <w:trHeight w:val="150"/>
          <w:tblCellSpacing w:w="0" w:type="dxa"/>
        </w:trPr>
        <w:tc>
          <w:tcPr>
            <w:tcW w:w="0" w:type="auto"/>
            <w:gridSpan w:val="2"/>
            <w:vAlign w:val="center"/>
          </w:tcPr>
          <w:p w:rsidR="00C65184" w:rsidRDefault="00C65184" w:rsidP="009C6F3B">
            <w:pPr>
              <w:spacing w:after="0" w:line="150" w:lineRule="atLeast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</w:p>
          <w:p w:rsidR="00015A8F" w:rsidRDefault="00015A8F" w:rsidP="009C6F3B">
            <w:pPr>
              <w:spacing w:after="0" w:line="150" w:lineRule="atLeast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  <w:p w:rsidR="00015A8F" w:rsidRDefault="00015A8F" w:rsidP="009C6F3B">
            <w:pPr>
              <w:spacing w:after="0" w:line="150" w:lineRule="atLeast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  <w:p w:rsidR="00015A8F" w:rsidRDefault="00015A8F" w:rsidP="009C6F3B">
            <w:pPr>
              <w:spacing w:after="0" w:line="150" w:lineRule="atLeast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  <w:p w:rsidR="00015A8F" w:rsidRPr="005F2BE5" w:rsidRDefault="00015A8F" w:rsidP="009C6F3B">
            <w:pPr>
              <w:spacing w:after="0" w:line="150" w:lineRule="atLeast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</w:tr>
    </w:tbl>
    <w:p w:rsidR="00C65184" w:rsidRPr="005F2BE5" w:rsidRDefault="00C65184" w:rsidP="00C65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BE5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Experiencia laboral</w:t>
      </w:r>
    </w:p>
    <w:p w:rsidR="00C65184" w:rsidRDefault="00C65184" w:rsidP="00C65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9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8631"/>
      </w:tblGrid>
      <w:tr w:rsidR="00C65184" w:rsidRPr="00734BF2" w:rsidTr="009C6F3B">
        <w:trPr>
          <w:tblCellSpacing w:w="0" w:type="dxa"/>
        </w:trPr>
        <w:tc>
          <w:tcPr>
            <w:tcW w:w="300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1" w:type="dxa"/>
            <w:hideMark/>
          </w:tcPr>
          <w:p w:rsidR="00C906E7" w:rsidRDefault="00C906E7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</w:p>
          <w:p w:rsidR="00C906E7" w:rsidRDefault="00C906E7" w:rsidP="00C906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01-2015 /  04-2015 Sigma Ingeniería</w:t>
            </w:r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, Proyecto de Construcción, Chile.</w:t>
            </w:r>
          </w:p>
          <w:p w:rsidR="00C906E7" w:rsidRPr="00C906E7" w:rsidRDefault="00C906E7" w:rsidP="00C906E7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4"/>
                <w:szCs w:val="24"/>
              </w:rPr>
            </w:pPr>
          </w:p>
          <w:p w:rsidR="00C906E7" w:rsidRDefault="00C906E7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Asesor </w:t>
            </w:r>
            <w:proofErr w:type="spellStart"/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Hsec</w:t>
            </w:r>
            <w:proofErr w:type="spellEnd"/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Sigma Ingeniería.</w:t>
            </w:r>
          </w:p>
          <w:p w:rsidR="00C906E7" w:rsidRDefault="00C906E7" w:rsidP="00C90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Proyecto Construcción y carpeteado HDPE</w:t>
            </w:r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 Asesorar y Capacitar en materias DS 132, 594, ley 16744. Realizar inspecciones en terreno,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verificar cumplimiento de estándar materias de Sustentabilidad,   Prevención de Riesgos y Medio Ambiente según la ley 19.300.</w:t>
            </w:r>
          </w:p>
          <w:p w:rsidR="00C906E7" w:rsidRDefault="00C906E7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</w:p>
          <w:p w:rsidR="00C906E7" w:rsidRDefault="00C906E7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</w:p>
          <w:p w:rsidR="00C906E7" w:rsidRDefault="00C906E7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01-2014 /  12-2014 </w:t>
            </w:r>
            <w:proofErr w:type="spellStart"/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Antucoya</w:t>
            </w:r>
            <w:proofErr w:type="spellEnd"/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AMSA, Proyecto de Construcción, Chile.</w:t>
            </w:r>
          </w:p>
          <w:p w:rsidR="00C65184" w:rsidRPr="00734BF2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300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1" w:type="dxa"/>
            <w:hideMark/>
          </w:tcPr>
          <w:p w:rsidR="00C65184" w:rsidRPr="00C906E7" w:rsidRDefault="00C65184" w:rsidP="009C6F3B">
            <w:pPr>
              <w:tabs>
                <w:tab w:val="left" w:pos="4207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Asesor </w:t>
            </w:r>
            <w:proofErr w:type="spellStart"/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Hsec</w:t>
            </w:r>
            <w:proofErr w:type="spellEnd"/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Constructora </w:t>
            </w:r>
            <w:proofErr w:type="spellStart"/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PyP</w:t>
            </w:r>
            <w:proofErr w:type="spellEnd"/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ab/>
            </w:r>
          </w:p>
        </w:tc>
      </w:tr>
      <w:tr w:rsidR="00C65184" w:rsidRPr="00734BF2" w:rsidTr="009C6F3B">
        <w:trPr>
          <w:tblCellSpacing w:w="0" w:type="dxa"/>
        </w:trPr>
        <w:tc>
          <w:tcPr>
            <w:tcW w:w="300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1" w:type="dxa"/>
            <w:hideMark/>
          </w:tcPr>
          <w:p w:rsidR="00C65184" w:rsidRPr="00C906E7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Proyecto de construcción centro de manejo de resid</w:t>
            </w:r>
            <w:r w:rsidR="00280B05"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uos sólidos para Minera </w:t>
            </w:r>
            <w:proofErr w:type="spellStart"/>
            <w:r w:rsidR="00280B05"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Antucoya</w:t>
            </w:r>
            <w:proofErr w:type="spellEnd"/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 Asesorar y Capacitar en materias DS 132, 594, ley 16744. Realizar inspecciones en terreno,</w:t>
            </w:r>
            <w:r w:rsidR="00280B05"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verificar la gestión del programa según estándar</w:t>
            </w:r>
            <w:r w:rsidR="00280B05"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SNC </w:t>
            </w:r>
            <w:proofErr w:type="spellStart"/>
            <w:r w:rsidR="00280B05"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Lavalin</w:t>
            </w:r>
            <w:proofErr w:type="spellEnd"/>
            <w:r w:rsidR="00280B05"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para C.M. </w:t>
            </w:r>
            <w:proofErr w:type="spellStart"/>
            <w:r w:rsidR="00280B05"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Antucoya</w:t>
            </w:r>
            <w:proofErr w:type="spellEnd"/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</w:t>
            </w:r>
            <w:r w:rsidR="00280B05"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Estadísticas</w:t>
            </w:r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accidentabilidad</w:t>
            </w:r>
            <w:proofErr w:type="spellEnd"/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Programa de </w:t>
            </w:r>
            <w:r w:rsidR="00280B05"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gestión</w:t>
            </w:r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riesgos para la faena. Protocolo de control de riesgos </w:t>
            </w:r>
            <w:r w:rsidR="00280B05"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críticos</w:t>
            </w:r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  <w:p w:rsidR="00C65184" w:rsidRPr="00C906E7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Cumplimiento de las metas de la empresa cero accidentes.</w:t>
            </w:r>
          </w:p>
          <w:p w:rsidR="00C65184" w:rsidRPr="00C906E7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</w:tbl>
    <w:p w:rsidR="00C65184" w:rsidRPr="00734BF2" w:rsidRDefault="00C65184" w:rsidP="00C65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9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1"/>
        <w:gridCol w:w="8630"/>
      </w:tblGrid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891E11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04</w:t>
            </w:r>
            <w:r w:rsidR="00C65184"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-2013 / 08-2013 CMDIC, Mina Rosario, Chile.</w:t>
            </w:r>
          </w:p>
          <w:p w:rsidR="00C65184" w:rsidRPr="00734BF2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tabs>
                <w:tab w:val="left" w:pos="4207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Asesor en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Prev</w:t>
            </w:r>
            <w:proofErr w:type="spellEnd"/>
            <w:r w:rsidR="00280B0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de Riesgos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ab/>
            </w: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Proyecto de prueba de 5.000 detonadores electrónicos en fase 9 y 12 en malla de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tronadura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Collahuasi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 Asesorar y Capacitar en materias DS 132, 594, ley 16744. Realizar inspecciones en</w:t>
            </w:r>
            <w:r w:rsidR="00891E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terreno</w:t>
            </w:r>
            <w:proofErr w:type="gram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,verificar</w:t>
            </w:r>
            <w:proofErr w:type="spellEnd"/>
            <w:proofErr w:type="gram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la gestión del programa, Verificar  29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ptos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Legales entrega del formulario E-200, aplicar los protocolos de control de riesgos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criticos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a cada una de las actividades.</w:t>
            </w: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Default="00891E11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11-2012 / 04-2013 CMDIC, Mina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Gabi</w:t>
            </w:r>
            <w:proofErr w:type="spellEnd"/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Codelco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Chile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891E11" w:rsidRDefault="00891E11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Asesor en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Prev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 de Riesgos</w:t>
            </w:r>
          </w:p>
          <w:p w:rsidR="00891E11" w:rsidRDefault="00891E11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Proyecto de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mantención planta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electrowining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 parada de planta y mejoras en la planta</w:t>
            </w:r>
            <w:r w:rsid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, carpeteado de </w:t>
            </w:r>
            <w:proofErr w:type="spellStart"/>
            <w:r w:rsid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Hdpe</w:t>
            </w:r>
            <w:proofErr w:type="spellEnd"/>
            <w:r w:rsid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, instalación de cañerías </w:t>
            </w:r>
            <w:proofErr w:type="spellStart"/>
            <w:r w:rsid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Hdpe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Realizar inspecciones en terreno, llevar programa de gestión de riesgos. Marco legal ley 16.744, DS 132, DS 594. </w:t>
            </w:r>
            <w:r w:rsid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Programa e gestión según </w:t>
            </w:r>
            <w:proofErr w:type="spellStart"/>
            <w:r w:rsid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Codelco</w:t>
            </w:r>
            <w:proofErr w:type="spellEnd"/>
            <w:r w:rsid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Chile.</w:t>
            </w:r>
          </w:p>
          <w:p w:rsidR="00891E11" w:rsidRDefault="00891E11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</w:p>
          <w:p w:rsidR="00891E11" w:rsidRPr="005F2BE5" w:rsidRDefault="00891E11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891E11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11-2008 / 10</w:t>
            </w:r>
            <w:r w:rsidR="00C65184"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gramStart"/>
            <w:r w:rsidR="00C65184"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2012 ,</w:t>
            </w:r>
            <w:proofErr w:type="gramEnd"/>
            <w:r w:rsidR="00280B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0B0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Sernageomin</w:t>
            </w:r>
            <w:proofErr w:type="spellEnd"/>
            <w:r w:rsidR="00C65184"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Chile.</w:t>
            </w:r>
          </w:p>
          <w:p w:rsidR="00C65184" w:rsidRPr="00734BF2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Ingeniero Inspector de faenas en Seguridad Minera.</w:t>
            </w: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Inspeccionar todas las faenas mineras de las empresas mandantes y contratistas. P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lantas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mineras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Minas subterráneas y a cielo abierto.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Ademásde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revisar  proyectos mineros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menos de 5000 ton/mes,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verificar y autorizar vehículos transportes de explosivos.</w:t>
            </w: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015A8F" w:rsidRPr="005F2BE5" w:rsidRDefault="00015A8F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10-2007 / 10-2008 CMDIC, Concentradora de Minerales, Chile.</w:t>
            </w: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906E7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Asesor en Prevención de Riesgos en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Eleccón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Proyecto aducción de agua fresca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Collahuasi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Aducción de </w:t>
            </w:r>
            <w:r w:rsid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cañerías de acero al carbono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24 pulgadas de </w:t>
            </w:r>
            <w:r w:rsidR="00280B05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diámetro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="00C906E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y 12 metros de largo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sector Planta Concentradora de minerales. Asesorar y Capacitar en materias DS 132, 594, ley 16744. Realizar inspecciones en terreno,</w:t>
            </w:r>
            <w:r w:rsidR="00280B0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verificar la gestión. </w:t>
            </w:r>
            <w:r w:rsidR="00280B05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Estadísticas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accidentabilidad.</w:t>
            </w: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015A8F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12-2006 / 09-2007 HMC Mina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C65184"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ubterranea</w:t>
            </w:r>
            <w:proofErr w:type="spellEnd"/>
            <w:r w:rsidR="00C65184"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, Chile.</w:t>
            </w: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Asesor en Prevención Fe Grande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Maq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yServ</w:t>
            </w:r>
            <w:proofErr w:type="spellEnd"/>
            <w:proofErr w:type="gram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Asesor en Prevención de riesgos empresa de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carguio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y transporte mineral interior</w:t>
            </w:r>
            <w:r w:rsidR="00E8769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mina subterránea HMC. Reglamentos Carguío y Transporte. </w:t>
            </w:r>
            <w:r w:rsidR="00E8769A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Además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la parte legal  DS 132, 594, ley 16744. Condiciones subestandar de los equipos, instalaciones y </w:t>
            </w:r>
            <w:r w:rsidR="00E8769A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áreas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y sectores de trabajo. Análisis conductual de los trabajadores frente al error humano como factor personal.</w:t>
            </w: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Implementar sistema de calidad en la empresa junto a la parte de </w:t>
            </w:r>
            <w:r w:rsidR="00E8769A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gestión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riesgos. </w:t>
            </w: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01-2006 / 11-2006 SCM CORDILLERA, Proyecto de construcción Planta, camino y Puerto, Chile.</w:t>
            </w: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Jefe Prevención, Constructora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Excon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Faena Cordillera.</w:t>
            </w: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Mantener las tasas de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accidentabilidad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en cero tanto dentro de la propiedad minera</w:t>
            </w:r>
            <w:r w:rsidR="00E8769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como camino acceso público. Jefe de prevención</w:t>
            </w:r>
            <w:r w:rsidR="00E8769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Faena Cordillera Proyecto de construcción camino  acceso Propiedad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Minera y camino Puerto Patache.</w:t>
            </w: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05-2005 / 01-2006 CMDIC, Mina Rosario Fase 4 y 5,  Chile.</w:t>
            </w: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Asesor en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Prev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Faena de sondaje diamantino Terra 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Service</w:t>
            </w:r>
            <w:proofErr w:type="spellEnd"/>
          </w:p>
        </w:tc>
      </w:tr>
      <w:tr w:rsidR="00C65184" w:rsidRPr="00734BF2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Asesor en Prevención de Riesgo Empresa Terra S. en Compañía Minera Do</w:t>
            </w:r>
            <w:r w:rsidR="00E8769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ña Inés de </w:t>
            </w:r>
            <w:proofErr w:type="spellStart"/>
            <w:r w:rsidR="00E8769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Collahuasi</w:t>
            </w:r>
            <w:proofErr w:type="spellEnd"/>
            <w:r w:rsidR="00E8769A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 fase 5.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="00E8769A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Además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la parte legal  DS 132, 594, ley 16744. Condiciones subestandar de los equipos.</w:t>
            </w:r>
          </w:p>
          <w:p w:rsidR="00C65184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015A8F" w:rsidRDefault="00015A8F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015A8F" w:rsidRPr="005F2BE5" w:rsidRDefault="00015A8F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184" w:rsidRPr="005F2BE5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01-2005 / 04-2005 </w:t>
            </w:r>
            <w:proofErr w:type="gramStart"/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BARRICK ,</w:t>
            </w:r>
            <w:proofErr w:type="gramEnd"/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Mina EL indio, Proyecto de Cierre de Instalaciones Mina,  Chile.</w:t>
            </w: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5F2BE5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Jefe de Prevención Constructora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Contex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Faena Indio.</w:t>
            </w:r>
          </w:p>
        </w:tc>
      </w:tr>
      <w:tr w:rsidR="00C65184" w:rsidRPr="005F2BE5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Jefe de Prevención de riesgos en faena Proyecto PLAN DE CIERRE AMBIENTAL MINERO EL INDIO. Demolición mina el indio en 4a región etapa 4 para la empresa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Barrick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01-2004 / 12-2004 CMDIC Mina Rosario , Chile</w:t>
            </w: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Asesor de </w:t>
            </w:r>
            <w:r w:rsidR="00E8769A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Prevención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riesgos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Interexport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Faena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Collahuasi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  <w:p w:rsidR="00C65184" w:rsidRDefault="00E8769A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Ampliación</w:t>
            </w:r>
            <w:r w:rsidR="00C65184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red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troncal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izada</w:t>
            </w:r>
            <w:proofErr w:type="spellEnd"/>
            <w:r w:rsidR="00C65184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radiocomunicaciones sector Mina Rajo Rosario. Instalacion de tres torre antena. Asesorar a la empresa cumplimiento legal DS 132; 594; ley 16.744. Estándares asociados a los trabajos de altura. </w:t>
            </w: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5F2BE5" w:rsidTr="009C6F3B">
        <w:trPr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4" w:rsidRPr="005F2BE5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01-2003 / 12-2003 CAMANCHACA, Maestranza Todo Acero, Chile.</w:t>
            </w: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5F2BE5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015A8F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Ingeniero de S</w:t>
            </w:r>
            <w:r w:rsidR="00B05E5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ervicios</w:t>
            </w:r>
            <w:r w:rsidR="00C65184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65184" w:rsidRPr="005F2BE5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Dirección y control de trabajos mecánicos, gestionar el requerimiento entre la necesidad del cliente y el diseño de equipos, pesqueros, reparaciones y reparaciones generales de equipos sobre cubierta de embarcaciones marítimas. Sistema recuperador de grasas.</w:t>
            </w:r>
          </w:p>
          <w:p w:rsidR="00C65184" w:rsidRDefault="00E8769A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También</w:t>
            </w:r>
            <w:r w:rsidR="00C65184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trabajos de mejoras, optimización de harneros, molinos de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mandíbulas</w:t>
            </w:r>
            <w:r w:rsidR="00C65184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y correas transportadoras Mediana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minería</w:t>
            </w:r>
            <w:r w:rsidR="00C65184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no metálica.</w:t>
            </w: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5F2BE5" w:rsidTr="009C6F3B">
        <w:trPr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4" w:rsidRPr="005F2BE5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01-2000 / 12-2002 S.C.M. CERRO COLORADO, Chile</w:t>
            </w: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5F2BE5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Ingeniero Mantención Rep. Equipo Mina Maestranza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Power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Rep.</w:t>
            </w:r>
          </w:p>
        </w:tc>
      </w:tr>
      <w:tr w:rsidR="00C65184" w:rsidRPr="005F2BE5" w:rsidTr="009C6F3B">
        <w:trPr>
          <w:tblCellSpacing w:w="0" w:type="dxa"/>
        </w:trPr>
        <w:tc>
          <w:tcPr>
            <w:tcW w:w="301" w:type="dxa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0" w:type="dxa"/>
            <w:hideMark/>
          </w:tcPr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Ingeniero programador de Mantención Mina en la faena Compañía Minera Cerro Colorado y faena de Compañía Minera los Pelambres. </w:t>
            </w:r>
            <w:r w:rsidR="00E8769A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Reparación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 equipos minas tolvas y baldes. De  camión de alto tonelaje </w:t>
            </w:r>
            <w:r w:rsidR="00E8769A"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camión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CAT 789 y  cargador CAT 994.</w:t>
            </w:r>
          </w:p>
          <w:p w:rsidR="00C65184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015A8F" w:rsidRPr="005F2BE5" w:rsidRDefault="00015A8F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734BF2" w:rsidTr="009C6F3B">
        <w:trPr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734BF2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184" w:rsidRPr="00BF51A2" w:rsidTr="009C6F3B">
        <w:trPr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2633D0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4" w:rsidRPr="002633D0" w:rsidTr="009C6F3B">
        <w:trPr>
          <w:trHeight w:val="150"/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2633D0" w:rsidRDefault="00C65184" w:rsidP="009C6F3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65184" w:rsidRPr="005F2BE5" w:rsidRDefault="00C65184" w:rsidP="00C65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BE5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Conocimientos de informática</w:t>
      </w:r>
    </w:p>
    <w:tbl>
      <w:tblPr>
        <w:tblW w:w="114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11100"/>
      </w:tblGrid>
      <w:tr w:rsidR="00C65184" w:rsidRPr="005F2BE5" w:rsidTr="009C6F3B">
        <w:trPr>
          <w:tblCellSpacing w:w="0" w:type="dxa"/>
        </w:trPr>
        <w:tc>
          <w:tcPr>
            <w:tcW w:w="30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5F2BE5" w:rsidTr="009C6F3B">
        <w:trPr>
          <w:tblCellSpacing w:w="0" w:type="dxa"/>
        </w:trPr>
        <w:tc>
          <w:tcPr>
            <w:tcW w:w="30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5184" w:rsidRPr="005F2BE5" w:rsidRDefault="00C65184" w:rsidP="00015A8F">
            <w:pPr>
              <w:tabs>
                <w:tab w:val="left" w:pos="2961"/>
              </w:tabs>
              <w:spacing w:after="0" w:line="240" w:lineRule="auto"/>
              <w:ind w:left="2961" w:hanging="2961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MIMS</w:t>
            </w:r>
            <w:r w:rsidR="00015A8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 Manejo Básico</w:t>
            </w:r>
          </w:p>
        </w:tc>
      </w:tr>
      <w:tr w:rsidR="00C65184" w:rsidRPr="005F2BE5" w:rsidTr="009C6F3B">
        <w:trPr>
          <w:tblCellSpacing w:w="0" w:type="dxa"/>
        </w:trPr>
        <w:tc>
          <w:tcPr>
            <w:tcW w:w="30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5184" w:rsidRPr="005F2BE5" w:rsidRDefault="00C65184" w:rsidP="00015A8F">
            <w:pPr>
              <w:tabs>
                <w:tab w:val="left" w:pos="2838"/>
              </w:tabs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WINDOWS XP</w:t>
            </w:r>
            <w:r w:rsidR="00015A8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 Manejo Intermedio</w:t>
            </w:r>
          </w:p>
        </w:tc>
      </w:tr>
      <w:tr w:rsidR="00C65184" w:rsidRPr="005F2BE5" w:rsidTr="009C6F3B">
        <w:trPr>
          <w:tblCellSpacing w:w="0" w:type="dxa"/>
        </w:trPr>
        <w:tc>
          <w:tcPr>
            <w:tcW w:w="30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MICROSOFT OUTLOOK</w:t>
            </w:r>
            <w:r w:rsidR="00015A8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 Manejo Intermedio</w:t>
            </w:r>
          </w:p>
        </w:tc>
      </w:tr>
      <w:tr w:rsidR="00C65184" w:rsidRPr="005F2BE5" w:rsidTr="009C6F3B">
        <w:trPr>
          <w:tblCellSpacing w:w="0" w:type="dxa"/>
        </w:trPr>
        <w:tc>
          <w:tcPr>
            <w:tcW w:w="30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INTERNET EXPLORER</w:t>
            </w:r>
            <w:r w:rsidR="00015A8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 Manejo Intermedio</w:t>
            </w:r>
          </w:p>
        </w:tc>
      </w:tr>
      <w:tr w:rsidR="00C65184" w:rsidRPr="00E70F08" w:rsidTr="009C6F3B">
        <w:trPr>
          <w:tblCellSpacing w:w="0" w:type="dxa"/>
        </w:trPr>
        <w:tc>
          <w:tcPr>
            <w:tcW w:w="30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/>
              </w:rPr>
              <w:t>MICROSOFT OFFICE XP</w:t>
            </w:r>
            <w:r w:rsidR="00015A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/>
              </w:rPr>
              <w:t>Manejo</w:t>
            </w:r>
            <w:proofErr w:type="spellEnd"/>
            <w:r w:rsidR="004E6A9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/>
              </w:rPr>
              <w:t>Intermedio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C65184" w:rsidRPr="005F2BE5" w:rsidTr="009C6F3B">
        <w:trPr>
          <w:tblCellSpacing w:w="0" w:type="dxa"/>
        </w:trPr>
        <w:tc>
          <w:tcPr>
            <w:tcW w:w="300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2B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5184" w:rsidRDefault="00C65184" w:rsidP="00015A8F">
            <w:pPr>
              <w:tabs>
                <w:tab w:val="left" w:pos="2961"/>
              </w:tabs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AUTOCAD</w:t>
            </w:r>
            <w:r w:rsidR="00015A8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 Manejo Avanzado</w:t>
            </w:r>
          </w:p>
          <w:p w:rsidR="00C65184" w:rsidRPr="005F2BE5" w:rsidRDefault="00C65184" w:rsidP="009C6F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5F2BE5" w:rsidTr="009C6F3B">
        <w:trPr>
          <w:trHeight w:val="1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5184" w:rsidRPr="005F2BE5" w:rsidRDefault="00C65184" w:rsidP="009C6F3B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65184" w:rsidRDefault="00C65184" w:rsidP="00C651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5F2BE5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Otros conocimientos / cursos / actividades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:</w:t>
      </w:r>
    </w:p>
    <w:p w:rsidR="00C65184" w:rsidRPr="005F2BE5" w:rsidRDefault="00C65184" w:rsidP="00C65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31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1"/>
        <w:gridCol w:w="8680"/>
      </w:tblGrid>
      <w:tr w:rsidR="00C65184" w:rsidRPr="005F2BE5" w:rsidTr="009C6F3B">
        <w:trPr>
          <w:tblCellSpacing w:w="0" w:type="dxa"/>
        </w:trPr>
        <w:tc>
          <w:tcPr>
            <w:tcW w:w="251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0" w:type="dxa"/>
            <w:hideMark/>
          </w:tcPr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Curso Diseño Mecánico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 Diseño mecánico</w:t>
            </w:r>
            <w:r w:rsidR="004E6A9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y elementos finitos </w:t>
            </w: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gram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en</w:t>
            </w:r>
            <w:proofErr w:type="gram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3D. </w:t>
            </w:r>
          </w:p>
        </w:tc>
      </w:tr>
      <w:tr w:rsidR="00C65184" w:rsidRPr="005F2BE5" w:rsidTr="009C6F3B">
        <w:trPr>
          <w:trHeight w:val="75"/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5F2BE5" w:rsidRDefault="00C65184" w:rsidP="009C6F3B">
            <w:pPr>
              <w:spacing w:after="0" w:line="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8255"/>
                  <wp:effectExtent l="0" t="0" r="0" b="0"/>
                  <wp:docPr id="12" name="Picture 12" descr="http://www.collahuasi.bumeran.cl/aplicantes/images/tra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collahuasi.bumeran.cl/aplicantes/images/tra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184" w:rsidRPr="005F2BE5" w:rsidTr="009C6F3B">
        <w:trPr>
          <w:tblCellSpacing w:w="0" w:type="dxa"/>
        </w:trPr>
        <w:tc>
          <w:tcPr>
            <w:tcW w:w="251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0" w:type="dxa"/>
            <w:hideMark/>
          </w:tcPr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Curso Perito De Investigación de Accidentes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 Curso basado en la investigación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 accidentes laborales, desde un punto de vista legal, informe ejecutivo y Relación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con la ley 16.744, DS 132 etc.</w:t>
            </w: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hAnsi="Verdana" w:cs="Tahoma"/>
                <w:sz w:val="24"/>
                <w:szCs w:val="24"/>
              </w:rPr>
            </w:pPr>
            <w:r w:rsidRPr="005F2BE5">
              <w:rPr>
                <w:rFonts w:ascii="Verdana" w:hAnsi="Verdana" w:cs="Tahoma"/>
                <w:b/>
                <w:sz w:val="24"/>
                <w:szCs w:val="24"/>
              </w:rPr>
              <w:t>Curso  ISO 9000, ISO 14000 Y OSHAS 18001</w:t>
            </w:r>
            <w:r w:rsidRPr="005F2BE5">
              <w:rPr>
                <w:rFonts w:ascii="Verdana" w:hAnsi="Verdana" w:cs="Tahoma"/>
                <w:sz w:val="24"/>
                <w:szCs w:val="24"/>
              </w:rPr>
              <w:t>.</w:t>
            </w: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5F2BE5" w:rsidTr="009C6F3B">
        <w:trPr>
          <w:trHeight w:val="75"/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5F2BE5" w:rsidRDefault="00C65184" w:rsidP="009C6F3B">
            <w:pPr>
              <w:spacing w:after="0" w:line="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8255"/>
                  <wp:effectExtent l="0" t="0" r="0" b="0"/>
                  <wp:docPr id="13" name="Picture 13" descr="http://www.collahuasi.bumeran.cl/aplicantes/images/tra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ollahuasi.bumeran.cl/aplicantes/images/tra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184" w:rsidRPr="005F2BE5" w:rsidTr="009C6F3B">
        <w:trPr>
          <w:tblCellSpacing w:w="0" w:type="dxa"/>
        </w:trPr>
        <w:tc>
          <w:tcPr>
            <w:tcW w:w="251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0" w:type="dxa"/>
            <w:hideMark/>
          </w:tcPr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Curso Fortificación Mina Subterránea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: Identificar las variables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másimportantes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en la fortificación de mina subterránea de acuerdo al tipo de roca, tipos de fallas. </w:t>
            </w: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Zonas de riesgo Geotécnico. Tipo de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monitoreos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subterráneos de acuerdo a las necesidades de la Mina. Diagramas en elementos finitos de los desplazamientos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geotécnicos de la mina. </w:t>
            </w: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5F2BE5" w:rsidTr="009C6F3B">
        <w:trPr>
          <w:trHeight w:val="75"/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5F2BE5" w:rsidRDefault="00C65184" w:rsidP="009C6F3B">
            <w:pPr>
              <w:spacing w:after="0" w:line="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8255"/>
                  <wp:effectExtent l="0" t="0" r="0" b="0"/>
                  <wp:docPr id="14" name="Picture 14" descr="http://www.collahuasi.bumeran.cl/aplicantes/images/tra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collahuasi.bumeran.cl/aplicantes/images/tra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184" w:rsidRPr="005F2BE5" w:rsidTr="009C6F3B">
        <w:trPr>
          <w:tblCellSpacing w:w="0" w:type="dxa"/>
        </w:trPr>
        <w:tc>
          <w:tcPr>
            <w:tcW w:w="251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0" w:type="dxa"/>
            <w:hideMark/>
          </w:tcPr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Curso Diseño y Operación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Geotécnica de Depósitos de Relave: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Curso de Diseño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Geotécnico de Depósitos de Relaves, incluyendo las lamas, relaves en pasta, relave en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Peligros y riesgos de un mal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 xml:space="preserve">diseño. </w:t>
            </w: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5F2BE5" w:rsidTr="009C6F3B">
        <w:trPr>
          <w:trHeight w:val="75"/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5F2BE5" w:rsidRDefault="00C65184" w:rsidP="009C6F3B">
            <w:pPr>
              <w:spacing w:after="0" w:line="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7625" cy="8255"/>
                  <wp:effectExtent l="0" t="0" r="0" b="0"/>
                  <wp:docPr id="15" name="Picture 15" descr="http://www.collahuasi.bumeran.cl/aplicantes/images/tra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ollahuasi.bumeran.cl/aplicantes/images/tra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184" w:rsidRPr="005F2BE5" w:rsidTr="009C6F3B">
        <w:trPr>
          <w:tblCellSpacing w:w="0" w:type="dxa"/>
        </w:trPr>
        <w:tc>
          <w:tcPr>
            <w:tcW w:w="251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0" w:type="dxa"/>
            <w:hideMark/>
          </w:tcPr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Curso </w:t>
            </w:r>
            <w:proofErr w:type="spellStart"/>
            <w:r w:rsidRPr="005F2BE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Simins</w:t>
            </w:r>
            <w:proofErr w:type="spellEnd"/>
            <w:r w:rsidRPr="005F2BE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 Online: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Ingreso de estadísticas de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accidentabilidad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 Ingreso de Inspecciones de seguridad de los Productores Mineros y plantas de Beneficio.</w:t>
            </w: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C65184" w:rsidRPr="005F2BE5" w:rsidTr="009C6F3B">
        <w:trPr>
          <w:trHeight w:val="75"/>
          <w:tblCellSpacing w:w="0" w:type="dxa"/>
        </w:trPr>
        <w:tc>
          <w:tcPr>
            <w:tcW w:w="8931" w:type="dxa"/>
            <w:gridSpan w:val="2"/>
            <w:vAlign w:val="center"/>
            <w:hideMark/>
          </w:tcPr>
          <w:p w:rsidR="00C65184" w:rsidRPr="005F2BE5" w:rsidRDefault="00C65184" w:rsidP="009C6F3B">
            <w:pPr>
              <w:spacing w:after="0" w:line="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8255"/>
                  <wp:effectExtent l="0" t="0" r="0" b="0"/>
                  <wp:docPr id="16" name="Picture 16" descr="http://www.collahuasi.bumeran.cl/aplicantes/images/tra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collahuasi.bumeran.cl/aplicantes/images/tra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184" w:rsidRPr="005F2BE5" w:rsidTr="009C6F3B">
        <w:trPr>
          <w:tblCellSpacing w:w="0" w:type="dxa"/>
        </w:trPr>
        <w:tc>
          <w:tcPr>
            <w:tcW w:w="251" w:type="dxa"/>
            <w:hideMark/>
          </w:tcPr>
          <w:p w:rsidR="00C65184" w:rsidRPr="005F2BE5" w:rsidRDefault="00C65184" w:rsidP="009C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0" w:type="dxa"/>
            <w:hideMark/>
          </w:tcPr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Curso Iniciación Electrónicas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: Iniciación de detonadores electrónica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Ikon</w:t>
            </w:r>
            <w:proofErr w:type="spell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Tronaduras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remotas.</w:t>
            </w: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Curso Revisión de Proyectos Mineros: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Proyectos rajo mina menos de 5.000 ton/mes,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Plantas de Beneficio Minero, Estaciones de Subestación Eléctrica. D.S. 132</w:t>
            </w: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F2BE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Curso de Sistemas </w:t>
            </w:r>
            <w:proofErr w:type="gramStart"/>
            <w:r w:rsidRPr="005F2BE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Eléctricos</w:t>
            </w:r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="00E70F0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F2BE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Intrínsecamente Seguros según D.S. 132.</w:t>
            </w:r>
          </w:p>
          <w:p w:rsidR="00E70F08" w:rsidRDefault="00E70F08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E70F08" w:rsidRDefault="00E70F08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E70F08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Curso de 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seguridad según la </w:t>
            </w:r>
            <w:r w:rsidRPr="00E70F08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Norma </w:t>
            </w:r>
            <w:proofErr w:type="spellStart"/>
            <w:proofErr w:type="gramStart"/>
            <w:r w:rsidRPr="00E70F08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Ansi</w:t>
            </w:r>
            <w:proofErr w:type="spellEnd"/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Referente a la seguridad industrial, transporte y manipulación de en cañerías de acero de diámetro superior a los 400mm y largo de montaje de 12 metros con grúa, maniobras en espacios reducidos de plantas industriales.</w:t>
            </w:r>
          </w:p>
          <w:p w:rsidR="00E70F08" w:rsidRDefault="00E70F08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E70F08" w:rsidRDefault="00E70F08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E70F08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Curso de Seguridad de Soldadura al arco, </w:t>
            </w:r>
            <w:proofErr w:type="spellStart"/>
            <w:r w:rsidRPr="00E70F08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mig</w:t>
            </w:r>
            <w:proofErr w:type="spellEnd"/>
            <w:r w:rsidRPr="00E70F08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 en obra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:  Dar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a conocer los riesgos típicos de los posibles peligros existentes en las obras de construcción de mayor y menor envergadura en plantas industriales. Actitud proactiva del supervisor, tipos de energía, jerarquización de los peligros. Según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Aws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Inducción Mina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Gabi</w:t>
            </w:r>
            <w:proofErr w:type="spellEnd"/>
          </w:p>
          <w:p w:rsidR="003D596C" w:rsidRDefault="003D596C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3D596C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</w:rPr>
            </w:pPr>
            <w:r w:rsidRPr="003D596C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</w:rPr>
              <w:t>Referencias:</w:t>
            </w: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Default="00015A8F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Pa</w:t>
            </w:r>
            <w:r w:rsidR="00B05E5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ula Acuña,    Jefa de Propiedad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Minera Santiago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Minerals</w:t>
            </w:r>
            <w:proofErr w:type="spellEnd"/>
            <w:r w:rsidR="00C65184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84185241</w:t>
            </w: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Roberto A</w:t>
            </w:r>
            <w:r w:rsidR="00015A8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rredondo,  Jefe Proyecto</w:t>
            </w:r>
            <w:r w:rsidR="00A734D9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, </w:t>
            </w:r>
            <w:r w:rsidR="00015A8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="00A734D9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Empresa </w:t>
            </w:r>
            <w:r w:rsidR="003D59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</w:t>
            </w:r>
            <w:r w:rsidR="00B05E5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CL  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</w:t>
            </w:r>
            <w:r w:rsidR="00B05E5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90788934</w:t>
            </w:r>
          </w:p>
          <w:p w:rsidR="00C65184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C65184" w:rsidRPr="005F2BE5" w:rsidRDefault="00C65184" w:rsidP="009C6F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</w:tbl>
    <w:p w:rsidR="00903E56" w:rsidRDefault="00903E56"/>
    <w:sectPr w:rsidR="00903E56" w:rsidSect="00903E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65184"/>
    <w:rsid w:val="00015A8F"/>
    <w:rsid w:val="00215B27"/>
    <w:rsid w:val="00280B05"/>
    <w:rsid w:val="003D596C"/>
    <w:rsid w:val="004E6A95"/>
    <w:rsid w:val="00851B0B"/>
    <w:rsid w:val="00891E11"/>
    <w:rsid w:val="00903E56"/>
    <w:rsid w:val="00957A9E"/>
    <w:rsid w:val="009D6269"/>
    <w:rsid w:val="00A734D9"/>
    <w:rsid w:val="00A74861"/>
    <w:rsid w:val="00B05E55"/>
    <w:rsid w:val="00BC7114"/>
    <w:rsid w:val="00C05F5B"/>
    <w:rsid w:val="00C65184"/>
    <w:rsid w:val="00C906E7"/>
    <w:rsid w:val="00D03F60"/>
    <w:rsid w:val="00E70F08"/>
    <w:rsid w:val="00E8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184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184"/>
    <w:rPr>
      <w:rFonts w:ascii="Tahoma" w:eastAsiaTheme="minorEastAsia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mailto:juanpablovelasquez669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1339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Plablo</dc:creator>
  <cp:lastModifiedBy>Juan Plablo</cp:lastModifiedBy>
  <cp:revision>12</cp:revision>
  <dcterms:created xsi:type="dcterms:W3CDTF">2015-05-08T19:43:00Z</dcterms:created>
  <dcterms:modified xsi:type="dcterms:W3CDTF">2015-06-02T19:02:00Z</dcterms:modified>
</cp:coreProperties>
</file>